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48E56A" w14:textId="77777777" w:rsidR="00C1755E" w:rsidRDefault="00C1755E" w:rsidP="00C1755E">
      <w:pPr>
        <w:widowControl w:val="0"/>
        <w:spacing w:line="240" w:lineRule="auto"/>
        <w:jc w:val="center"/>
        <w:rPr>
          <w:rFonts w:ascii="Times New Roman" w:eastAsia="Times New Roman" w:hAnsi="Times New Roman" w:cs="Times New Roman"/>
          <w:b/>
          <w:sz w:val="28"/>
          <w:szCs w:val="28"/>
        </w:rPr>
      </w:pPr>
    </w:p>
    <w:p w14:paraId="7E960E50" w14:textId="77777777" w:rsidR="00C1755E" w:rsidRDefault="00C1755E" w:rsidP="00C1755E">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PERIOD 6 DBQ </w:t>
      </w:r>
    </w:p>
    <w:p w14:paraId="5DB00819" w14:textId="77777777" w:rsidR="00C1755E" w:rsidRDefault="00C1755E" w:rsidP="00C1755E">
      <w:pPr>
        <w:widowControl w:val="0"/>
        <w:spacing w:line="240" w:lineRule="auto"/>
        <w:jc w:val="center"/>
        <w:rPr>
          <w:rFonts w:ascii="Times" w:eastAsia="Times" w:hAnsi="Times" w:cs="Times"/>
          <w:b/>
        </w:rPr>
      </w:pPr>
    </w:p>
    <w:p w14:paraId="45339CCB" w14:textId="77777777" w:rsidR="00C1755E" w:rsidRDefault="00C1755E" w:rsidP="00C1755E">
      <w:pPr>
        <w:widowControl w:val="0"/>
        <w:spacing w:line="240" w:lineRule="auto"/>
        <w:ind w:left="1080" w:right="810" w:hanging="270"/>
        <w:jc w:val="center"/>
        <w:rPr>
          <w:rFonts w:ascii="Times" w:eastAsia="Times" w:hAnsi="Times" w:cs="Times"/>
          <w:b/>
        </w:rPr>
      </w:pPr>
      <w:r>
        <w:rPr>
          <w:rFonts w:ascii="Times" w:eastAsia="Times" w:hAnsi="Times" w:cs="Times"/>
          <w:b/>
        </w:rPr>
        <w:t xml:space="preserve">DBQ MODIFIED FOR 2020 EXAM FORMAT </w:t>
      </w:r>
    </w:p>
    <w:p w14:paraId="6812FF4B" w14:textId="77777777" w:rsidR="00C1755E" w:rsidRDefault="00C1755E" w:rsidP="00C1755E">
      <w:pPr>
        <w:widowControl w:val="0"/>
        <w:spacing w:line="240" w:lineRule="auto"/>
        <w:ind w:left="1080" w:right="810" w:hanging="270"/>
        <w:jc w:val="center"/>
        <w:rPr>
          <w:rFonts w:ascii="Times" w:eastAsia="Times" w:hAnsi="Times" w:cs="Times"/>
          <w:b/>
        </w:rPr>
      </w:pPr>
    </w:p>
    <w:p w14:paraId="3BD8E17F" w14:textId="77777777" w:rsidR="00C1755E" w:rsidRDefault="00C1755E" w:rsidP="00C1755E">
      <w:pPr>
        <w:widowControl w:val="0"/>
        <w:spacing w:line="240" w:lineRule="auto"/>
        <w:ind w:left="1080" w:right="810" w:hanging="270"/>
        <w:rPr>
          <w:rFonts w:ascii="Times" w:eastAsia="Times" w:hAnsi="Times" w:cs="Times"/>
          <w:b/>
        </w:rPr>
      </w:pPr>
      <w:r>
        <w:rPr>
          <w:rFonts w:ascii="Times" w:eastAsia="Times" w:hAnsi="Times" w:cs="Times"/>
          <w:b/>
        </w:rPr>
        <w:t>Directions:</w:t>
      </w:r>
      <w:r>
        <w:rPr>
          <w:rFonts w:ascii="Times" w:eastAsia="Times" w:hAnsi="Times" w:cs="Times"/>
        </w:rPr>
        <w:t xml:space="preserve"> Question 1 is based on the accompanying documents.  The documents have been edited for the purpose of this exercise.  </w:t>
      </w:r>
      <w:r>
        <w:rPr>
          <w:rFonts w:ascii="Times" w:eastAsia="Times" w:hAnsi="Times" w:cs="Times"/>
          <w:b/>
        </w:rPr>
        <w:t>You will have 45 minutes to complete this DBQ.</w:t>
      </w:r>
    </w:p>
    <w:p w14:paraId="0A4FABA4" w14:textId="77777777" w:rsidR="00C1755E" w:rsidRDefault="00C1755E" w:rsidP="00C1755E">
      <w:pPr>
        <w:widowControl w:val="0"/>
        <w:spacing w:line="240" w:lineRule="auto"/>
        <w:ind w:left="1080" w:right="810" w:hanging="270"/>
        <w:rPr>
          <w:rFonts w:ascii="Times" w:eastAsia="Times" w:hAnsi="Times" w:cs="Times"/>
        </w:rPr>
      </w:pPr>
    </w:p>
    <w:p w14:paraId="7DE3D606" w14:textId="77777777" w:rsidR="00C1755E" w:rsidRDefault="00C1755E" w:rsidP="00C1755E">
      <w:pPr>
        <w:widowControl w:val="0"/>
        <w:spacing w:line="240" w:lineRule="auto"/>
        <w:ind w:left="1080" w:right="810" w:hanging="270"/>
        <w:rPr>
          <w:rFonts w:ascii="Times" w:eastAsia="Times" w:hAnsi="Times" w:cs="Times"/>
          <w:sz w:val="20"/>
          <w:szCs w:val="20"/>
        </w:rPr>
      </w:pPr>
      <w:r>
        <w:rPr>
          <w:rFonts w:ascii="Times" w:eastAsia="Times" w:hAnsi="Times" w:cs="Times"/>
        </w:rPr>
        <w:t>I</w:t>
      </w:r>
      <w:r>
        <w:rPr>
          <w:rFonts w:ascii="Times" w:eastAsia="Times" w:hAnsi="Times" w:cs="Times"/>
          <w:sz w:val="20"/>
          <w:szCs w:val="20"/>
        </w:rPr>
        <w:t xml:space="preserve">n your response you should do the following: </w:t>
      </w:r>
    </w:p>
    <w:p w14:paraId="2896A6B5" w14:textId="77777777" w:rsidR="00C1755E" w:rsidRDefault="00C1755E" w:rsidP="00C1755E">
      <w:pPr>
        <w:numPr>
          <w:ilvl w:val="0"/>
          <w:numId w:val="1"/>
        </w:numPr>
        <w:spacing w:line="240" w:lineRule="auto"/>
        <w:ind w:left="1080" w:right="810" w:hanging="270"/>
        <w:rPr>
          <w:rFonts w:ascii="Times" w:eastAsia="Times" w:hAnsi="Times" w:cs="Times"/>
          <w:sz w:val="20"/>
          <w:szCs w:val="20"/>
        </w:rPr>
      </w:pPr>
      <w:r>
        <w:rPr>
          <w:rFonts w:ascii="Times" w:eastAsia="Times" w:hAnsi="Times" w:cs="Times"/>
          <w:sz w:val="20"/>
          <w:szCs w:val="20"/>
        </w:rPr>
        <w:t>Respond to the prompt with a historically defensive thesis or claim that establishes a line of reasoning.</w:t>
      </w:r>
    </w:p>
    <w:p w14:paraId="3686316A" w14:textId="77777777" w:rsidR="00C1755E" w:rsidRDefault="00C1755E" w:rsidP="00C1755E">
      <w:pPr>
        <w:numPr>
          <w:ilvl w:val="0"/>
          <w:numId w:val="1"/>
        </w:numPr>
        <w:spacing w:line="240" w:lineRule="auto"/>
        <w:ind w:left="1080" w:right="810" w:hanging="270"/>
        <w:rPr>
          <w:rFonts w:ascii="Times" w:eastAsia="Times" w:hAnsi="Times" w:cs="Times"/>
          <w:sz w:val="20"/>
          <w:szCs w:val="20"/>
        </w:rPr>
      </w:pPr>
      <w:r>
        <w:rPr>
          <w:rFonts w:ascii="Times" w:eastAsia="Times" w:hAnsi="Times" w:cs="Times"/>
          <w:sz w:val="20"/>
          <w:szCs w:val="20"/>
        </w:rPr>
        <w:t>Describe a broader historical context relevant to the prompt.</w:t>
      </w:r>
    </w:p>
    <w:p w14:paraId="55228A2C" w14:textId="77777777" w:rsidR="00C1755E" w:rsidRDefault="00C1755E" w:rsidP="00C1755E">
      <w:pPr>
        <w:numPr>
          <w:ilvl w:val="0"/>
          <w:numId w:val="1"/>
        </w:numPr>
        <w:spacing w:line="240" w:lineRule="auto"/>
        <w:ind w:left="1080" w:right="810" w:hanging="270"/>
        <w:rPr>
          <w:rFonts w:ascii="Times" w:eastAsia="Times" w:hAnsi="Times" w:cs="Times"/>
          <w:sz w:val="20"/>
          <w:szCs w:val="20"/>
        </w:rPr>
      </w:pPr>
      <w:r>
        <w:rPr>
          <w:rFonts w:ascii="Times" w:eastAsia="Times" w:hAnsi="Times" w:cs="Times"/>
          <w:sz w:val="20"/>
          <w:szCs w:val="20"/>
        </w:rPr>
        <w:t xml:space="preserve">Support an argument in response to the prompt using at least </w:t>
      </w:r>
      <w:r>
        <w:rPr>
          <w:rFonts w:ascii="Times" w:eastAsia="Times" w:hAnsi="Times" w:cs="Times"/>
          <w:sz w:val="20"/>
          <w:szCs w:val="20"/>
          <w:u w:val="single"/>
        </w:rPr>
        <w:t>4 documents</w:t>
      </w:r>
      <w:r>
        <w:rPr>
          <w:rFonts w:ascii="Times" w:eastAsia="Times" w:hAnsi="Times" w:cs="Times"/>
          <w:sz w:val="20"/>
          <w:szCs w:val="20"/>
        </w:rPr>
        <w:t>.</w:t>
      </w:r>
    </w:p>
    <w:p w14:paraId="291B8B95" w14:textId="77777777" w:rsidR="00C1755E" w:rsidRDefault="00C1755E" w:rsidP="00C1755E">
      <w:pPr>
        <w:numPr>
          <w:ilvl w:val="0"/>
          <w:numId w:val="1"/>
        </w:numPr>
        <w:spacing w:line="240" w:lineRule="auto"/>
        <w:ind w:left="1080" w:right="810" w:hanging="270"/>
        <w:rPr>
          <w:rFonts w:ascii="Times" w:eastAsia="Times" w:hAnsi="Times" w:cs="Times"/>
          <w:sz w:val="20"/>
          <w:szCs w:val="20"/>
        </w:rPr>
      </w:pPr>
      <w:r>
        <w:rPr>
          <w:rFonts w:ascii="Times" w:eastAsia="Times" w:hAnsi="Times" w:cs="Times"/>
          <w:sz w:val="20"/>
          <w:szCs w:val="20"/>
        </w:rPr>
        <w:t xml:space="preserve">Use </w:t>
      </w:r>
      <w:r>
        <w:rPr>
          <w:rFonts w:ascii="Times" w:eastAsia="Times" w:hAnsi="Times" w:cs="Times"/>
          <w:sz w:val="20"/>
          <w:szCs w:val="20"/>
          <w:u w:val="single"/>
        </w:rPr>
        <w:t>2 additional piece</w:t>
      </w:r>
      <w:r>
        <w:rPr>
          <w:rFonts w:ascii="Times" w:eastAsia="Times" w:hAnsi="Times" w:cs="Times"/>
          <w:sz w:val="20"/>
          <w:szCs w:val="20"/>
        </w:rPr>
        <w:t>s of specific historical evidence (beyond that found in the documents) relevant to an argument in the prompt.</w:t>
      </w:r>
    </w:p>
    <w:p w14:paraId="20C6A58D" w14:textId="77777777" w:rsidR="00C1755E" w:rsidRDefault="00C1755E" w:rsidP="00C1755E">
      <w:pPr>
        <w:numPr>
          <w:ilvl w:val="0"/>
          <w:numId w:val="1"/>
        </w:numPr>
        <w:spacing w:line="240" w:lineRule="auto"/>
        <w:ind w:left="1080" w:right="810" w:hanging="270"/>
        <w:rPr>
          <w:rFonts w:ascii="Times" w:eastAsia="Times" w:hAnsi="Times" w:cs="Times"/>
          <w:sz w:val="20"/>
          <w:szCs w:val="20"/>
        </w:rPr>
      </w:pPr>
      <w:r>
        <w:rPr>
          <w:rFonts w:ascii="Times" w:eastAsia="Times" w:hAnsi="Times" w:cs="Times"/>
          <w:sz w:val="20"/>
          <w:szCs w:val="20"/>
        </w:rPr>
        <w:t xml:space="preserve">For at least </w:t>
      </w:r>
      <w:r>
        <w:rPr>
          <w:rFonts w:ascii="Times" w:eastAsia="Times" w:hAnsi="Times" w:cs="Times"/>
          <w:sz w:val="20"/>
          <w:szCs w:val="20"/>
          <w:u w:val="single"/>
        </w:rPr>
        <w:t>2 documents</w:t>
      </w:r>
      <w:r>
        <w:rPr>
          <w:rFonts w:ascii="Times" w:eastAsia="Times" w:hAnsi="Times" w:cs="Times"/>
          <w:sz w:val="20"/>
          <w:szCs w:val="20"/>
        </w:rPr>
        <w:t>, explain how or why the documents point of view, purpose, historical situation, and/or audience is relevant to an argument.</w:t>
      </w:r>
    </w:p>
    <w:p w14:paraId="7FC9E491" w14:textId="77777777" w:rsidR="00C1755E" w:rsidRDefault="00C1755E" w:rsidP="00C1755E">
      <w:pPr>
        <w:numPr>
          <w:ilvl w:val="0"/>
          <w:numId w:val="1"/>
        </w:numPr>
        <w:spacing w:line="240" w:lineRule="auto"/>
        <w:ind w:left="1080" w:right="810" w:hanging="270"/>
        <w:rPr>
          <w:rFonts w:ascii="Times" w:eastAsia="Times" w:hAnsi="Times" w:cs="Times"/>
          <w:sz w:val="20"/>
          <w:szCs w:val="20"/>
        </w:rPr>
      </w:pPr>
      <w:r>
        <w:rPr>
          <w:rFonts w:ascii="Times" w:eastAsia="Times" w:hAnsi="Times" w:cs="Times"/>
          <w:sz w:val="20"/>
          <w:szCs w:val="20"/>
        </w:rPr>
        <w:t>Use evidence to corroborate, qualify, or modify an argument that addresses the prompt.</w:t>
      </w:r>
    </w:p>
    <w:p w14:paraId="1B155886" w14:textId="77777777" w:rsidR="00C1755E" w:rsidRDefault="00C1755E" w:rsidP="00C1755E">
      <w:pPr>
        <w:widowControl w:val="0"/>
        <w:spacing w:line="240" w:lineRule="auto"/>
        <w:jc w:val="center"/>
        <w:rPr>
          <w:rFonts w:ascii="Times New Roman" w:eastAsia="Times New Roman" w:hAnsi="Times New Roman" w:cs="Times New Roman"/>
          <w:b/>
          <w:sz w:val="28"/>
          <w:szCs w:val="28"/>
        </w:rPr>
      </w:pPr>
    </w:p>
    <w:p w14:paraId="1CF1C374" w14:textId="77777777" w:rsidR="00C1755E" w:rsidRDefault="00C1755E" w:rsidP="00C1755E">
      <w:pPr>
        <w:spacing w:line="240" w:lineRule="auto"/>
      </w:pPr>
    </w:p>
    <w:p w14:paraId="24742779" w14:textId="212BC7D1" w:rsidR="00C1755E" w:rsidRPr="00C1755E" w:rsidRDefault="00C1755E" w:rsidP="00C1755E">
      <w:pPr>
        <w:numPr>
          <w:ilvl w:val="0"/>
          <w:numId w:val="2"/>
        </w:numPr>
        <w:shd w:val="clear" w:color="auto" w:fill="FFFFFF"/>
        <w:spacing w:after="220" w:line="240" w:lineRule="auto"/>
        <w:rPr>
          <w:rFonts w:ascii="Times" w:eastAsia="Times" w:hAnsi="Times" w:cs="Times"/>
          <w:b/>
        </w:rPr>
      </w:pPr>
      <w:r>
        <w:rPr>
          <w:rFonts w:ascii="Times" w:eastAsia="Times" w:hAnsi="Times" w:cs="Times"/>
          <w:b/>
        </w:rPr>
        <w:t xml:space="preserve">Evaluate the extent to which the Progressive movement fostered political change in the United States from 1890 to 1920. </w:t>
      </w:r>
    </w:p>
    <w:p w14:paraId="171B054F" w14:textId="77777777" w:rsidR="00C1755E" w:rsidRDefault="00C1755E" w:rsidP="00C1755E">
      <w:pPr>
        <w:shd w:val="clear" w:color="auto" w:fill="FFFFFF"/>
        <w:spacing w:line="240" w:lineRule="auto"/>
        <w:ind w:left="720"/>
        <w:jc w:val="center"/>
        <w:rPr>
          <w:rFonts w:ascii="Times" w:eastAsia="Times" w:hAnsi="Times" w:cs="Times"/>
          <w:b/>
        </w:rPr>
      </w:pPr>
      <w:r>
        <w:rPr>
          <w:rFonts w:ascii="Times" w:eastAsia="Times" w:hAnsi="Times" w:cs="Times"/>
          <w:b/>
        </w:rPr>
        <w:t>Document 1</w:t>
      </w:r>
    </w:p>
    <w:tbl>
      <w:tblPr>
        <w:tblW w:w="9629"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29"/>
      </w:tblGrid>
      <w:tr w:rsidR="00C1755E" w14:paraId="2B47468F" w14:textId="77777777" w:rsidTr="00C1755E">
        <w:trPr>
          <w:trHeight w:val="5601"/>
        </w:trPr>
        <w:tc>
          <w:tcPr>
            <w:tcW w:w="9629" w:type="dxa"/>
            <w:shd w:val="clear" w:color="auto" w:fill="auto"/>
            <w:tcMar>
              <w:top w:w="100" w:type="dxa"/>
              <w:left w:w="100" w:type="dxa"/>
              <w:bottom w:w="100" w:type="dxa"/>
              <w:right w:w="100" w:type="dxa"/>
            </w:tcMar>
          </w:tcPr>
          <w:p w14:paraId="02A76299" w14:textId="77777777" w:rsidR="00C1755E" w:rsidRDefault="00C1755E" w:rsidP="003D3BD4">
            <w:pPr>
              <w:widowControl w:val="0"/>
              <w:pBdr>
                <w:top w:val="nil"/>
                <w:left w:val="nil"/>
                <w:bottom w:val="nil"/>
                <w:right w:val="nil"/>
                <w:between w:val="nil"/>
              </w:pBdr>
              <w:spacing w:line="240" w:lineRule="auto"/>
              <w:rPr>
                <w:rFonts w:ascii="Times" w:eastAsia="Times" w:hAnsi="Times" w:cs="Times"/>
              </w:rPr>
            </w:pPr>
            <w:r>
              <w:rPr>
                <w:rFonts w:ascii="Times" w:eastAsia="Times" w:hAnsi="Times" w:cs="Times"/>
              </w:rPr>
              <w:t xml:space="preserve">Source: Jacob Riis, photojournalist, </w:t>
            </w:r>
            <w:r>
              <w:rPr>
                <w:rFonts w:ascii="Times" w:eastAsia="Times" w:hAnsi="Times" w:cs="Times"/>
                <w:i/>
              </w:rPr>
              <w:t>How the Other Half Lives</w:t>
            </w:r>
            <w:r>
              <w:rPr>
                <w:rFonts w:ascii="Times" w:eastAsia="Times" w:hAnsi="Times" w:cs="Times"/>
              </w:rPr>
              <w:t>, New York City, 1890.</w:t>
            </w:r>
          </w:p>
          <w:p w14:paraId="6A7E3237" w14:textId="77777777" w:rsidR="00C1755E" w:rsidRDefault="00C1755E" w:rsidP="003D3BD4">
            <w:pPr>
              <w:widowControl w:val="0"/>
              <w:pBdr>
                <w:top w:val="nil"/>
                <w:left w:val="nil"/>
                <w:bottom w:val="nil"/>
                <w:right w:val="nil"/>
                <w:between w:val="nil"/>
              </w:pBdr>
              <w:spacing w:line="240" w:lineRule="auto"/>
              <w:rPr>
                <w:rFonts w:ascii="Times" w:eastAsia="Times" w:hAnsi="Times" w:cs="Times"/>
                <w:sz w:val="20"/>
                <w:szCs w:val="20"/>
              </w:rPr>
            </w:pPr>
          </w:p>
          <w:p w14:paraId="06594F63" w14:textId="77777777" w:rsidR="00C1755E" w:rsidRDefault="00C1755E" w:rsidP="003D3BD4">
            <w:pPr>
              <w:shd w:val="clear" w:color="auto" w:fill="FFFFFF"/>
              <w:spacing w:after="220" w:line="240" w:lineRule="auto"/>
              <w:jc w:val="center"/>
              <w:rPr>
                <w:rFonts w:ascii="Times" w:eastAsia="Times" w:hAnsi="Times" w:cs="Times"/>
                <w:sz w:val="20"/>
                <w:szCs w:val="20"/>
              </w:rPr>
            </w:pPr>
            <w:r>
              <w:rPr>
                <w:rFonts w:ascii="Times" w:eastAsia="Times" w:hAnsi="Times" w:cs="Times"/>
                <w:b/>
                <w:noProof/>
              </w:rPr>
              <w:drawing>
                <wp:inline distT="114300" distB="114300" distL="114300" distR="114300" wp14:anchorId="4A2E4563" wp14:editId="6C28C7EB">
                  <wp:extent cx="6197533" cy="3262313"/>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
                          <a:srcRect/>
                          <a:stretch>
                            <a:fillRect/>
                          </a:stretch>
                        </pic:blipFill>
                        <pic:spPr>
                          <a:xfrm>
                            <a:off x="0" y="0"/>
                            <a:ext cx="6197533" cy="3262313"/>
                          </a:xfrm>
                          <a:prstGeom prst="rect">
                            <a:avLst/>
                          </a:prstGeom>
                          <a:ln/>
                        </pic:spPr>
                      </pic:pic>
                    </a:graphicData>
                  </a:graphic>
                </wp:inline>
              </w:drawing>
            </w:r>
          </w:p>
        </w:tc>
      </w:tr>
    </w:tbl>
    <w:p w14:paraId="686A9B43" w14:textId="77777777" w:rsidR="00C1755E" w:rsidRDefault="00C1755E" w:rsidP="00C1755E">
      <w:pPr>
        <w:shd w:val="clear" w:color="auto" w:fill="FFFFFF"/>
        <w:spacing w:after="220" w:line="240" w:lineRule="auto"/>
        <w:ind w:left="720"/>
        <w:rPr>
          <w:rFonts w:ascii="Times" w:eastAsia="Times" w:hAnsi="Times" w:cs="Times"/>
          <w:b/>
        </w:rPr>
      </w:pPr>
    </w:p>
    <w:p w14:paraId="5CD345D6" w14:textId="77777777" w:rsidR="00C1755E" w:rsidRDefault="00C1755E" w:rsidP="00C1755E">
      <w:pPr>
        <w:shd w:val="clear" w:color="auto" w:fill="FFFFFF"/>
        <w:spacing w:after="220" w:line="240" w:lineRule="auto"/>
        <w:ind w:left="720"/>
        <w:rPr>
          <w:rFonts w:ascii="Times" w:eastAsia="Times" w:hAnsi="Times" w:cs="Times"/>
          <w:b/>
        </w:rPr>
      </w:pPr>
    </w:p>
    <w:p w14:paraId="302AFD2F" w14:textId="77777777" w:rsidR="00C1755E" w:rsidRDefault="00C1755E" w:rsidP="00C1755E">
      <w:pPr>
        <w:shd w:val="clear" w:color="auto" w:fill="FFFFFF"/>
        <w:spacing w:line="240" w:lineRule="auto"/>
        <w:jc w:val="center"/>
        <w:rPr>
          <w:rFonts w:ascii="Times" w:eastAsia="Times" w:hAnsi="Times" w:cs="Times"/>
          <w:b/>
          <w:sz w:val="20"/>
          <w:szCs w:val="20"/>
        </w:rPr>
      </w:pPr>
    </w:p>
    <w:p w14:paraId="7C3FB0C3" w14:textId="77777777" w:rsidR="00C1755E" w:rsidRDefault="00C1755E" w:rsidP="00C1755E">
      <w:pPr>
        <w:shd w:val="clear" w:color="auto" w:fill="FFFFFF"/>
        <w:spacing w:line="240" w:lineRule="auto"/>
        <w:jc w:val="center"/>
        <w:rPr>
          <w:rFonts w:ascii="Times" w:eastAsia="Times" w:hAnsi="Times" w:cs="Times"/>
          <w:b/>
          <w:sz w:val="20"/>
          <w:szCs w:val="20"/>
        </w:rPr>
      </w:pPr>
    </w:p>
    <w:p w14:paraId="326D2DFD" w14:textId="77777777" w:rsidR="00C1755E" w:rsidRDefault="00C1755E" w:rsidP="00C1755E">
      <w:pPr>
        <w:shd w:val="clear" w:color="auto" w:fill="FFFFFF"/>
        <w:spacing w:line="240" w:lineRule="auto"/>
        <w:rPr>
          <w:rFonts w:ascii="Times" w:eastAsia="Times" w:hAnsi="Times" w:cs="Times"/>
          <w:b/>
        </w:rPr>
      </w:pPr>
    </w:p>
    <w:p w14:paraId="218A1436" w14:textId="77777777" w:rsidR="00C1755E" w:rsidRDefault="00C1755E" w:rsidP="00C1755E">
      <w:pPr>
        <w:shd w:val="clear" w:color="auto" w:fill="FFFFFF"/>
        <w:spacing w:line="240" w:lineRule="auto"/>
        <w:jc w:val="center"/>
        <w:rPr>
          <w:rFonts w:ascii="Times" w:eastAsia="Times" w:hAnsi="Times" w:cs="Times"/>
          <w:b/>
        </w:rPr>
      </w:pPr>
    </w:p>
    <w:p w14:paraId="4936122A" w14:textId="77777777" w:rsidR="00C1755E" w:rsidRDefault="00C1755E" w:rsidP="00C1755E">
      <w:pPr>
        <w:shd w:val="clear" w:color="auto" w:fill="FFFFFF"/>
        <w:spacing w:line="240" w:lineRule="auto"/>
        <w:jc w:val="center"/>
        <w:rPr>
          <w:rFonts w:ascii="Times" w:eastAsia="Times" w:hAnsi="Times" w:cs="Times"/>
          <w:b/>
        </w:rPr>
      </w:pPr>
      <w:r>
        <w:rPr>
          <w:rFonts w:ascii="Times" w:eastAsia="Times" w:hAnsi="Times" w:cs="Times"/>
          <w:b/>
        </w:rPr>
        <w:t>Document 2</w:t>
      </w: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1755E" w14:paraId="644BC76B" w14:textId="77777777" w:rsidTr="003D3BD4">
        <w:trPr>
          <w:jc w:val="center"/>
        </w:trPr>
        <w:tc>
          <w:tcPr>
            <w:tcW w:w="10800" w:type="dxa"/>
            <w:shd w:val="clear" w:color="auto" w:fill="auto"/>
            <w:tcMar>
              <w:top w:w="100" w:type="dxa"/>
              <w:left w:w="100" w:type="dxa"/>
              <w:bottom w:w="100" w:type="dxa"/>
              <w:right w:w="100" w:type="dxa"/>
            </w:tcMar>
          </w:tcPr>
          <w:p w14:paraId="3A63B817" w14:textId="77777777" w:rsidR="00C1755E" w:rsidRDefault="00C1755E" w:rsidP="003D3BD4">
            <w:pPr>
              <w:shd w:val="clear" w:color="auto" w:fill="FFFFFF"/>
              <w:spacing w:line="240" w:lineRule="auto"/>
              <w:rPr>
                <w:rFonts w:ascii="Times" w:eastAsia="Times" w:hAnsi="Times" w:cs="Times"/>
              </w:rPr>
            </w:pPr>
            <w:r>
              <w:rPr>
                <w:rFonts w:ascii="Times" w:eastAsia="Times" w:hAnsi="Times" w:cs="Times"/>
              </w:rPr>
              <w:t xml:space="preserve">Source: President Theodore Roosevelt, speech at Providence, Rhode Island, 1902. </w:t>
            </w:r>
          </w:p>
          <w:p w14:paraId="1E9A143D" w14:textId="77777777" w:rsidR="00C1755E" w:rsidRDefault="00C1755E" w:rsidP="003D3BD4">
            <w:pPr>
              <w:shd w:val="clear" w:color="auto" w:fill="FFFFFF"/>
              <w:spacing w:line="240" w:lineRule="auto"/>
              <w:rPr>
                <w:rFonts w:ascii="Times" w:eastAsia="Times" w:hAnsi="Times" w:cs="Times"/>
              </w:rPr>
            </w:pPr>
          </w:p>
          <w:p w14:paraId="18071F63" w14:textId="77777777" w:rsidR="00C1755E" w:rsidRDefault="00C1755E" w:rsidP="003D3BD4">
            <w:pPr>
              <w:shd w:val="clear" w:color="auto" w:fill="FFFFFF"/>
              <w:spacing w:line="240" w:lineRule="auto"/>
              <w:rPr>
                <w:rFonts w:ascii="Times" w:eastAsia="Times" w:hAnsi="Times" w:cs="Times"/>
                <w:b/>
              </w:rPr>
            </w:pPr>
            <w:r>
              <w:rPr>
                <w:rFonts w:ascii="Times" w:eastAsia="Times" w:hAnsi="Times" w:cs="Times"/>
              </w:rPr>
              <w:t xml:space="preserve">The great corporations which we have grown to speak of rather loosely as trusts are the creatures of the State, and the State not only has the right to control them, but it is in duty bound to control them wherever the need of such control is shown. There is clearly need of supervision—need to possess the power of regulation of these great corporations through the representatives of the public—wherever, as in our own country at the present time, business corporations become so very powerful alike for beneficent work and for work that is not always beneficent. It is idle to say that there is no need for such supervision. There is, and a sufficient warrant for it is to be found in any one of the admitted evils appertaining to them.  </w:t>
            </w:r>
          </w:p>
        </w:tc>
      </w:tr>
    </w:tbl>
    <w:p w14:paraId="4D49325F" w14:textId="54AD8273" w:rsidR="00C1755E" w:rsidRDefault="00C1755E" w:rsidP="00C1755E">
      <w:pPr>
        <w:shd w:val="clear" w:color="auto" w:fill="FFFFFF"/>
        <w:spacing w:line="240" w:lineRule="auto"/>
        <w:rPr>
          <w:rFonts w:ascii="Times" w:eastAsia="Times" w:hAnsi="Times" w:cs="Times"/>
          <w:b/>
        </w:rPr>
      </w:pPr>
    </w:p>
    <w:p w14:paraId="1F725636" w14:textId="006226B2" w:rsidR="00C1755E" w:rsidRDefault="00C1755E" w:rsidP="00C1755E">
      <w:pPr>
        <w:shd w:val="clear" w:color="auto" w:fill="FFFFFF"/>
        <w:spacing w:line="240" w:lineRule="auto"/>
        <w:rPr>
          <w:rFonts w:ascii="Times" w:eastAsia="Times" w:hAnsi="Times" w:cs="Times"/>
          <w:b/>
        </w:rPr>
      </w:pPr>
    </w:p>
    <w:p w14:paraId="50731C4E" w14:textId="77777777" w:rsidR="00C1755E" w:rsidRDefault="00C1755E" w:rsidP="00C1755E">
      <w:pPr>
        <w:shd w:val="clear" w:color="auto" w:fill="FFFFFF"/>
        <w:spacing w:line="240" w:lineRule="auto"/>
        <w:rPr>
          <w:rFonts w:ascii="Times" w:eastAsia="Times" w:hAnsi="Times" w:cs="Times"/>
          <w:b/>
        </w:rPr>
      </w:pPr>
    </w:p>
    <w:p w14:paraId="0C1E47D9" w14:textId="77777777" w:rsidR="00C1755E" w:rsidRDefault="00C1755E" w:rsidP="00C1755E">
      <w:pPr>
        <w:shd w:val="clear" w:color="auto" w:fill="FFFFFF"/>
        <w:spacing w:line="240" w:lineRule="auto"/>
        <w:jc w:val="center"/>
        <w:rPr>
          <w:rFonts w:ascii="Times" w:eastAsia="Times" w:hAnsi="Times" w:cs="Times"/>
          <w:b/>
        </w:rPr>
      </w:pPr>
      <w:r>
        <w:rPr>
          <w:rFonts w:ascii="Times" w:eastAsia="Times" w:hAnsi="Times" w:cs="Times"/>
          <w:b/>
        </w:rPr>
        <w:t>Document 3</w:t>
      </w: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1755E" w14:paraId="6FFF3A93" w14:textId="77777777" w:rsidTr="003D3BD4">
        <w:trPr>
          <w:jc w:val="center"/>
        </w:trPr>
        <w:tc>
          <w:tcPr>
            <w:tcW w:w="10800" w:type="dxa"/>
            <w:shd w:val="clear" w:color="auto" w:fill="auto"/>
            <w:tcMar>
              <w:top w:w="100" w:type="dxa"/>
              <w:left w:w="100" w:type="dxa"/>
              <w:bottom w:w="100" w:type="dxa"/>
              <w:right w:w="100" w:type="dxa"/>
            </w:tcMar>
          </w:tcPr>
          <w:p w14:paraId="00B70170" w14:textId="77777777" w:rsidR="00C1755E" w:rsidRDefault="00C1755E" w:rsidP="003D3BD4">
            <w:pPr>
              <w:shd w:val="clear" w:color="auto" w:fill="FFFFFF"/>
              <w:spacing w:line="240" w:lineRule="auto"/>
              <w:rPr>
                <w:rFonts w:ascii="Times" w:eastAsia="Times" w:hAnsi="Times" w:cs="Times"/>
              </w:rPr>
            </w:pPr>
            <w:r>
              <w:rPr>
                <w:rFonts w:ascii="Times" w:eastAsia="Times" w:hAnsi="Times" w:cs="Times"/>
              </w:rPr>
              <w:t xml:space="preserve">Source: Ida Tarbell,  “The History of the Standard Oil Company,” </w:t>
            </w:r>
            <w:r>
              <w:rPr>
                <w:rFonts w:ascii="Times" w:eastAsia="Times" w:hAnsi="Times" w:cs="Times"/>
                <w:i/>
              </w:rPr>
              <w:t>McClure’s Magazine</w:t>
            </w:r>
            <w:r>
              <w:rPr>
                <w:rFonts w:ascii="Times" w:eastAsia="Times" w:hAnsi="Times" w:cs="Times"/>
              </w:rPr>
              <w:t xml:space="preserve">, 1902-1904 </w:t>
            </w:r>
          </w:p>
          <w:p w14:paraId="07BEE29C" w14:textId="77777777" w:rsidR="00C1755E" w:rsidRDefault="00C1755E" w:rsidP="003D3BD4">
            <w:pPr>
              <w:shd w:val="clear" w:color="auto" w:fill="FFFFFF"/>
              <w:spacing w:line="240" w:lineRule="auto"/>
              <w:rPr>
                <w:rFonts w:ascii="Times" w:eastAsia="Times" w:hAnsi="Times" w:cs="Times"/>
              </w:rPr>
            </w:pPr>
          </w:p>
          <w:p w14:paraId="410821A3" w14:textId="77777777" w:rsidR="00C1755E" w:rsidRDefault="00C1755E" w:rsidP="003D3BD4">
            <w:pPr>
              <w:shd w:val="clear" w:color="auto" w:fill="FFFFFF"/>
              <w:spacing w:line="240" w:lineRule="auto"/>
              <w:rPr>
                <w:rFonts w:ascii="Times" w:eastAsia="Times" w:hAnsi="Times" w:cs="Times"/>
                <w:b/>
              </w:rPr>
            </w:pPr>
            <w:r>
              <w:rPr>
                <w:rFonts w:ascii="Times" w:eastAsia="Times" w:hAnsi="Times" w:cs="Times"/>
              </w:rPr>
              <w:t xml:space="preserve">Mr. Rockefeller . . . secured an alliance with the railroads to drive out rivals. For fifteen years he received rebates of varying amounts on at least the greater part of his shipments, and for at least a portion of that time he collected drawbacks of the oil other people shipped; at the same time he worked with the railroads to prevent other people getting oil to manufacture, or if they got it he worked with the railroads to prevent the shipment of the product. If it reached a dealer, he did his utmost to bully or wheedle him to countermand his order. If he failed in that, he undersold until the dealer, losing on his purchase, was glad enough to buy thereafter of Mr. Rockefeller. . . . . . . There is no independent refiner or jobber who tries to ship oil freight that does not meet incessant discouragement and discrimination. . . </w:t>
            </w:r>
          </w:p>
        </w:tc>
      </w:tr>
    </w:tbl>
    <w:p w14:paraId="2D76FF28" w14:textId="77777777" w:rsidR="00C1755E" w:rsidRDefault="00C1755E" w:rsidP="00C1755E">
      <w:pPr>
        <w:shd w:val="clear" w:color="auto" w:fill="FFFFFF"/>
        <w:spacing w:line="240" w:lineRule="auto"/>
        <w:rPr>
          <w:rFonts w:ascii="Times" w:eastAsia="Times" w:hAnsi="Times" w:cs="Times"/>
          <w:b/>
        </w:rPr>
      </w:pPr>
    </w:p>
    <w:p w14:paraId="08D1D2EA" w14:textId="77777777" w:rsidR="00C1755E" w:rsidRDefault="00C1755E" w:rsidP="00C1755E">
      <w:pPr>
        <w:shd w:val="clear" w:color="auto" w:fill="FFFFFF"/>
        <w:spacing w:line="240" w:lineRule="auto"/>
        <w:jc w:val="center"/>
        <w:rPr>
          <w:rFonts w:ascii="Times" w:eastAsia="Times" w:hAnsi="Times" w:cs="Times"/>
          <w:b/>
        </w:rPr>
      </w:pPr>
      <w:bookmarkStart w:id="0" w:name="_GoBack"/>
      <w:bookmarkEnd w:id="0"/>
    </w:p>
    <w:p w14:paraId="74950FD4" w14:textId="77777777" w:rsidR="00C1755E" w:rsidRDefault="00C1755E" w:rsidP="00C1755E">
      <w:pPr>
        <w:shd w:val="clear" w:color="auto" w:fill="FFFFFF"/>
        <w:spacing w:line="240" w:lineRule="auto"/>
        <w:jc w:val="center"/>
        <w:rPr>
          <w:rFonts w:ascii="Times" w:eastAsia="Times" w:hAnsi="Times" w:cs="Times"/>
          <w:b/>
        </w:rPr>
      </w:pPr>
    </w:p>
    <w:p w14:paraId="158D3A65" w14:textId="77777777" w:rsidR="00C1755E" w:rsidRDefault="00C1755E" w:rsidP="00C1755E">
      <w:pPr>
        <w:shd w:val="clear" w:color="auto" w:fill="FFFFFF"/>
        <w:spacing w:line="240" w:lineRule="auto"/>
        <w:jc w:val="center"/>
        <w:rPr>
          <w:rFonts w:ascii="Times" w:eastAsia="Times" w:hAnsi="Times" w:cs="Times"/>
          <w:b/>
        </w:rPr>
      </w:pPr>
    </w:p>
    <w:p w14:paraId="6605EA43" w14:textId="77777777" w:rsidR="00C1755E" w:rsidRDefault="00C1755E" w:rsidP="00C1755E">
      <w:pPr>
        <w:shd w:val="clear" w:color="auto" w:fill="FFFFFF"/>
        <w:spacing w:line="240" w:lineRule="auto"/>
        <w:jc w:val="center"/>
        <w:rPr>
          <w:rFonts w:ascii="Times" w:eastAsia="Times" w:hAnsi="Times" w:cs="Times"/>
          <w:b/>
        </w:rPr>
      </w:pPr>
      <w:r>
        <w:rPr>
          <w:rFonts w:ascii="Times" w:eastAsia="Times" w:hAnsi="Times" w:cs="Times"/>
          <w:b/>
        </w:rPr>
        <w:t>Document 4</w:t>
      </w: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1755E" w14:paraId="47A5A8C5" w14:textId="77777777" w:rsidTr="003D3BD4">
        <w:trPr>
          <w:trHeight w:val="2610"/>
          <w:jc w:val="center"/>
        </w:trPr>
        <w:tc>
          <w:tcPr>
            <w:tcW w:w="10800" w:type="dxa"/>
            <w:shd w:val="clear" w:color="auto" w:fill="auto"/>
            <w:tcMar>
              <w:top w:w="100" w:type="dxa"/>
              <w:left w:w="100" w:type="dxa"/>
              <w:bottom w:w="100" w:type="dxa"/>
              <w:right w:w="100" w:type="dxa"/>
            </w:tcMar>
          </w:tcPr>
          <w:p w14:paraId="0BF907AD" w14:textId="77777777" w:rsidR="00C1755E" w:rsidRDefault="00C1755E" w:rsidP="003D3BD4">
            <w:pPr>
              <w:widowControl w:val="0"/>
              <w:spacing w:line="240" w:lineRule="auto"/>
              <w:rPr>
                <w:rFonts w:ascii="Times" w:eastAsia="Times" w:hAnsi="Times" w:cs="Times"/>
                <w:highlight w:val="white"/>
              </w:rPr>
            </w:pPr>
            <w:r>
              <w:rPr>
                <w:rFonts w:ascii="Times" w:eastAsia="Times" w:hAnsi="Times" w:cs="Times"/>
                <w:highlight w:val="white"/>
              </w:rPr>
              <w:t>Clayton Anti-Trust Act, 1914</w:t>
            </w:r>
          </w:p>
          <w:p w14:paraId="6BA82A92" w14:textId="77777777" w:rsidR="00C1755E" w:rsidRDefault="00C1755E" w:rsidP="003D3BD4">
            <w:pPr>
              <w:widowControl w:val="0"/>
              <w:spacing w:line="240" w:lineRule="auto"/>
              <w:rPr>
                <w:rFonts w:ascii="Times" w:eastAsia="Times" w:hAnsi="Times" w:cs="Times"/>
                <w:highlight w:val="white"/>
              </w:rPr>
            </w:pPr>
          </w:p>
          <w:p w14:paraId="2D76221E" w14:textId="77777777" w:rsidR="00C1755E" w:rsidRDefault="00C1755E" w:rsidP="003D3BD4">
            <w:pPr>
              <w:widowControl w:val="0"/>
              <w:spacing w:line="240" w:lineRule="auto"/>
              <w:rPr>
                <w:rFonts w:ascii="Times" w:eastAsia="Times" w:hAnsi="Times" w:cs="Times"/>
                <w:highlight w:val="white"/>
              </w:rPr>
            </w:pPr>
            <w:r>
              <w:rPr>
                <w:rFonts w:ascii="Times" w:eastAsia="Times" w:hAnsi="Times" w:cs="Times"/>
                <w:highlight w:val="white"/>
              </w:rPr>
              <w:t xml:space="preserve">It shall be unlawful for any person engaged in commerce, in the course of such commerce, either directly or indirectly, to discriminate in price between different purchasers of commodities of like grade and quality, where either or any of the purchases involved in such discrimination are in commerce, where such commodities are sold for use, consumption, or resale within the United States or any Territory thereof or the District of Columbia or any insular possession or other place under the jurisdiction of the United States, and where the effect of such discrimination may be substantially to lessen competition or tend to create a monopoly in any line of commerce, or to injure, destroy, or prevent competition with any person who either grants or knowingly receives the benefit of such discrimination, or with customers of either of them... </w:t>
            </w:r>
          </w:p>
          <w:p w14:paraId="2807B523" w14:textId="77777777" w:rsidR="00C1755E" w:rsidRDefault="00C1755E" w:rsidP="003D3BD4">
            <w:pPr>
              <w:widowControl w:val="0"/>
              <w:spacing w:line="240" w:lineRule="auto"/>
              <w:rPr>
                <w:rFonts w:ascii="Times" w:eastAsia="Times" w:hAnsi="Times" w:cs="Times"/>
                <w:highlight w:val="white"/>
              </w:rPr>
            </w:pPr>
          </w:p>
          <w:p w14:paraId="4ABCCA31" w14:textId="77777777" w:rsidR="00C1755E" w:rsidRDefault="00C1755E" w:rsidP="003D3BD4">
            <w:pPr>
              <w:widowControl w:val="0"/>
              <w:spacing w:line="240" w:lineRule="auto"/>
              <w:rPr>
                <w:rFonts w:ascii="Times" w:eastAsia="Times" w:hAnsi="Times" w:cs="Times"/>
              </w:rPr>
            </w:pPr>
            <w:r>
              <w:rPr>
                <w:rFonts w:ascii="Times" w:eastAsia="Times" w:hAnsi="Times" w:cs="Times"/>
                <w:highlight w:val="white"/>
              </w:rPr>
              <w:t>That the Federal Trade Commission may, after due investigation and hearing to all interested parties, fix and establish quantity limits, and revise the same as it finds necessary, as to particular commodities or classes of commodities, where it finds that available purchasers in greater quantities are so few as to render differentials on account thereof unjustly discriminatory or promotive of monopoly in any line of commerce</w:t>
            </w:r>
          </w:p>
        </w:tc>
      </w:tr>
    </w:tbl>
    <w:p w14:paraId="394867C8" w14:textId="77777777" w:rsidR="00C1755E" w:rsidRDefault="00C1755E" w:rsidP="00C1755E">
      <w:pPr>
        <w:shd w:val="clear" w:color="auto" w:fill="FFFFFF"/>
        <w:spacing w:line="240" w:lineRule="auto"/>
        <w:jc w:val="center"/>
        <w:rPr>
          <w:rFonts w:ascii="Times" w:eastAsia="Times" w:hAnsi="Times" w:cs="Times"/>
          <w:b/>
        </w:rPr>
      </w:pPr>
    </w:p>
    <w:p w14:paraId="29C231CF" w14:textId="77777777" w:rsidR="00C1755E" w:rsidRDefault="00C1755E" w:rsidP="00C1755E">
      <w:pPr>
        <w:shd w:val="clear" w:color="auto" w:fill="FFFFFF"/>
        <w:spacing w:line="240" w:lineRule="auto"/>
        <w:rPr>
          <w:rFonts w:ascii="Times" w:eastAsia="Times" w:hAnsi="Times" w:cs="Times"/>
          <w:b/>
        </w:rPr>
      </w:pPr>
    </w:p>
    <w:p w14:paraId="19FD96FC" w14:textId="77777777" w:rsidR="00C1755E" w:rsidRDefault="00C1755E" w:rsidP="00C1755E">
      <w:pPr>
        <w:shd w:val="clear" w:color="auto" w:fill="FFFFFF"/>
        <w:spacing w:line="240" w:lineRule="auto"/>
        <w:jc w:val="center"/>
        <w:rPr>
          <w:rFonts w:ascii="Times" w:eastAsia="Times" w:hAnsi="Times" w:cs="Times"/>
          <w:b/>
        </w:rPr>
      </w:pPr>
    </w:p>
    <w:p w14:paraId="309611A6" w14:textId="77777777" w:rsidR="00C1755E" w:rsidRDefault="00C1755E" w:rsidP="00C1755E">
      <w:pPr>
        <w:shd w:val="clear" w:color="auto" w:fill="FFFFFF"/>
        <w:spacing w:line="240" w:lineRule="auto"/>
        <w:rPr>
          <w:rFonts w:ascii="Times" w:eastAsia="Times" w:hAnsi="Times" w:cs="Times"/>
          <w:b/>
        </w:rPr>
      </w:pPr>
    </w:p>
    <w:p w14:paraId="082FC774" w14:textId="77777777" w:rsidR="00C1755E" w:rsidRDefault="00C1755E" w:rsidP="00C1755E">
      <w:pPr>
        <w:shd w:val="clear" w:color="auto" w:fill="FFFFFF"/>
        <w:spacing w:line="240" w:lineRule="auto"/>
        <w:jc w:val="center"/>
        <w:rPr>
          <w:rFonts w:ascii="Times" w:eastAsia="Times" w:hAnsi="Times" w:cs="Times"/>
          <w:b/>
        </w:rPr>
      </w:pPr>
    </w:p>
    <w:p w14:paraId="2C035ED2" w14:textId="77777777" w:rsidR="00C1755E" w:rsidRDefault="00C1755E" w:rsidP="00C1755E">
      <w:pPr>
        <w:shd w:val="clear" w:color="auto" w:fill="FFFFFF"/>
        <w:spacing w:line="240" w:lineRule="auto"/>
        <w:jc w:val="center"/>
        <w:rPr>
          <w:rFonts w:ascii="Times" w:eastAsia="Times" w:hAnsi="Times" w:cs="Times"/>
          <w:b/>
        </w:rPr>
      </w:pPr>
      <w:r>
        <w:rPr>
          <w:rFonts w:ascii="Times" w:eastAsia="Times" w:hAnsi="Times" w:cs="Times"/>
          <w:b/>
        </w:rPr>
        <w:lastRenderedPageBreak/>
        <w:t>Document 5</w:t>
      </w: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1755E" w14:paraId="10CC09D3" w14:textId="77777777" w:rsidTr="003D3BD4">
        <w:trPr>
          <w:jc w:val="center"/>
        </w:trPr>
        <w:tc>
          <w:tcPr>
            <w:tcW w:w="10800" w:type="dxa"/>
            <w:shd w:val="clear" w:color="auto" w:fill="auto"/>
            <w:tcMar>
              <w:top w:w="100" w:type="dxa"/>
              <w:left w:w="100" w:type="dxa"/>
              <w:bottom w:w="100" w:type="dxa"/>
              <w:right w:w="100" w:type="dxa"/>
            </w:tcMar>
          </w:tcPr>
          <w:p w14:paraId="1859622D" w14:textId="77777777" w:rsidR="00C1755E" w:rsidRDefault="00C1755E" w:rsidP="003D3BD4">
            <w:pPr>
              <w:shd w:val="clear" w:color="auto" w:fill="FFFFFF"/>
              <w:spacing w:after="220" w:line="240" w:lineRule="auto"/>
              <w:rPr>
                <w:rFonts w:ascii="Times" w:eastAsia="Times" w:hAnsi="Times" w:cs="Times"/>
              </w:rPr>
            </w:pPr>
            <w:r>
              <w:rPr>
                <w:rFonts w:ascii="Times" w:eastAsia="Times" w:hAnsi="Times" w:cs="Times"/>
              </w:rPr>
              <w:t xml:space="preserve">Source: The American Issue Publishing Company, a printer and distributor of pamphlets, leaflets, magazines, and books created by the Anti-Saloon League, circa 1918. </w:t>
            </w:r>
          </w:p>
          <w:p w14:paraId="3818218E" w14:textId="77777777" w:rsidR="00C1755E" w:rsidRDefault="00C1755E" w:rsidP="003D3BD4">
            <w:pPr>
              <w:shd w:val="clear" w:color="auto" w:fill="FFFFFF"/>
              <w:spacing w:after="220" w:line="240" w:lineRule="auto"/>
              <w:jc w:val="center"/>
              <w:rPr>
                <w:rFonts w:ascii="Times" w:eastAsia="Times" w:hAnsi="Times" w:cs="Times"/>
              </w:rPr>
            </w:pPr>
            <w:r>
              <w:rPr>
                <w:rFonts w:ascii="Times" w:eastAsia="Times" w:hAnsi="Times" w:cs="Times"/>
                <w:noProof/>
              </w:rPr>
              <w:drawing>
                <wp:inline distT="114300" distB="114300" distL="114300" distR="114300" wp14:anchorId="7EA190D5" wp14:editId="173E2987">
                  <wp:extent cx="4895850" cy="5562999"/>
                  <wp:effectExtent l="0" t="0" r="0" b="0"/>
                  <wp:docPr id="1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
                          <a:srcRect/>
                          <a:stretch>
                            <a:fillRect/>
                          </a:stretch>
                        </pic:blipFill>
                        <pic:spPr>
                          <a:xfrm>
                            <a:off x="0" y="0"/>
                            <a:ext cx="4895850" cy="5562999"/>
                          </a:xfrm>
                          <a:prstGeom prst="rect">
                            <a:avLst/>
                          </a:prstGeom>
                          <a:ln/>
                        </pic:spPr>
                      </pic:pic>
                    </a:graphicData>
                  </a:graphic>
                </wp:inline>
              </w:drawing>
            </w:r>
          </w:p>
        </w:tc>
      </w:tr>
    </w:tbl>
    <w:p w14:paraId="712FE123" w14:textId="4472BE8C" w:rsidR="001B29B3" w:rsidRDefault="001B29B3"/>
    <w:sectPr w:rsidR="001B29B3" w:rsidSect="00C1755E">
      <w:pgSz w:w="12240" w:h="15840"/>
      <w:pgMar w:top="63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4008B0"/>
    <w:multiLevelType w:val="multilevel"/>
    <w:tmpl w:val="DE8087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48B448D"/>
    <w:multiLevelType w:val="multilevel"/>
    <w:tmpl w:val="1C1A971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55E"/>
    <w:rsid w:val="001B29B3"/>
    <w:rsid w:val="00C175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09EA8"/>
  <w15:chartTrackingRefBased/>
  <w15:docId w15:val="{1D8DE0E5-C174-4E94-8750-26C1DA815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1755E"/>
    <w:pPr>
      <w:spacing w:after="0" w:line="276" w:lineRule="auto"/>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659</Words>
  <Characters>3758</Characters>
  <Application>Microsoft Office Word</Application>
  <DocSecurity>0</DocSecurity>
  <Lines>31</Lines>
  <Paragraphs>8</Paragraphs>
  <ScaleCrop>false</ScaleCrop>
  <Company/>
  <LinksUpToDate>false</LinksUpToDate>
  <CharactersWithSpaces>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1</cp:revision>
  <dcterms:created xsi:type="dcterms:W3CDTF">2020-05-11T23:05:00Z</dcterms:created>
  <dcterms:modified xsi:type="dcterms:W3CDTF">2020-05-11T23:12:00Z</dcterms:modified>
</cp:coreProperties>
</file>